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1" w:rsidRDefault="006D0441" w:rsidP="006D0441">
      <w:pPr>
        <w:pStyle w:val="Ttulo1"/>
      </w:pPr>
      <w:r>
        <w:t xml:space="preserve">Indicadores base </w:t>
      </w:r>
      <w:bookmarkStart w:id="0" w:name="_GoBack"/>
      <w:r>
        <w:t xml:space="preserve">ICES-BID </w:t>
      </w:r>
      <w:bookmarkEnd w:id="0"/>
      <w:r>
        <w:t>para la GIRS</w:t>
      </w:r>
    </w:p>
    <w:p w:rsidR="006D0441" w:rsidRDefault="006D0441" w:rsidP="006D0441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06646C">
        <w:rPr>
          <w:sz w:val="28"/>
          <w:szCs w:val="28"/>
        </w:rPr>
        <w:t>os indicadores propuestos para la GIRS por el Banco Interamericano de Desarrollo (BID, 2016) en el marco de su iniciativa de Ciudades Emergentes y Sostenibles (ICES)</w:t>
      </w:r>
      <w:r>
        <w:rPr>
          <w:sz w:val="28"/>
          <w:szCs w:val="28"/>
        </w:rPr>
        <w:t xml:space="preserve">, </w:t>
      </w:r>
      <w:r w:rsidRPr="0006646C">
        <w:rPr>
          <w:sz w:val="28"/>
          <w:szCs w:val="28"/>
        </w:rPr>
        <w:t>procura</w:t>
      </w:r>
      <w:r>
        <w:rPr>
          <w:sz w:val="28"/>
          <w:szCs w:val="28"/>
        </w:rPr>
        <w:t>n</w:t>
      </w:r>
      <w:r w:rsidRPr="0006646C">
        <w:rPr>
          <w:sz w:val="28"/>
          <w:szCs w:val="28"/>
        </w:rPr>
        <w:t xml:space="preserve"> proveer nuevos y mejores métodos que faciliten el avance de las ciudades en su camino hacia la sostenibilidad</w:t>
      </w:r>
      <w:r>
        <w:rPr>
          <w:sz w:val="28"/>
          <w:szCs w:val="28"/>
        </w:rPr>
        <w:t>, en este caso el enfoque es en la GIRS</w:t>
      </w:r>
      <w:r w:rsidRPr="0006646C">
        <w:rPr>
          <w:sz w:val="28"/>
          <w:szCs w:val="28"/>
        </w:rPr>
        <w:t>.</w:t>
      </w:r>
    </w:p>
    <w:p w:rsidR="006D0441" w:rsidRDefault="006D0441" w:rsidP="006D0441">
      <w:pPr>
        <w:jc w:val="both"/>
        <w:rPr>
          <w:sz w:val="28"/>
          <w:szCs w:val="28"/>
        </w:rPr>
      </w:pPr>
      <w:r w:rsidRPr="004A2AEC">
        <w:rPr>
          <w:sz w:val="28"/>
          <w:szCs w:val="28"/>
        </w:rPr>
        <w:t>El Programa Ciudades Emergentes y Sostenibles (CES) del BID, es un programa de apoyo a los gobiernos nacionales y locales, en el desarrollo y ejecución de planes de sostenibilidad urbana de América Latina y el Caribe.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915"/>
        <w:gridCol w:w="556"/>
        <w:gridCol w:w="473"/>
        <w:gridCol w:w="623"/>
        <w:gridCol w:w="556"/>
      </w:tblGrid>
      <w:tr w:rsidR="006D0441" w:rsidRPr="005F530E" w:rsidTr="00F97363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 xml:space="preserve">  </w:t>
            </w:r>
          </w:p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7573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>Indicadores base ICES-BID para la GIRS</w:t>
            </w:r>
          </w:p>
        </w:tc>
      </w:tr>
      <w:tr w:rsidR="006D0441" w:rsidRPr="005F530E" w:rsidTr="00F97363">
        <w:trPr>
          <w:trHeight w:val="300"/>
        </w:trPr>
        <w:tc>
          <w:tcPr>
            <w:tcW w:w="3231" w:type="pct"/>
            <w:shd w:val="clear" w:color="auto" w:fill="auto"/>
            <w:noWrap/>
            <w:vAlign w:val="bottom"/>
            <w:hideMark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Indicadores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Unidades</w:t>
            </w:r>
          </w:p>
        </w:tc>
        <w:tc>
          <w:tcPr>
            <w:tcW w:w="315" w:type="pct"/>
            <w:vAlign w:val="bottom"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68" w:type="pct"/>
            <w:shd w:val="clear" w:color="auto" w:fill="A8D08D" w:themeFill="accent6" w:themeFillTint="99"/>
            <w:vAlign w:val="bottom"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Bueno</w:t>
            </w:r>
          </w:p>
        </w:tc>
        <w:tc>
          <w:tcPr>
            <w:tcW w:w="353" w:type="pct"/>
            <w:shd w:val="clear" w:color="auto" w:fill="FFFF00"/>
            <w:noWrap/>
            <w:vAlign w:val="bottom"/>
            <w:hideMark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Regular</w:t>
            </w:r>
          </w:p>
        </w:tc>
        <w:tc>
          <w:tcPr>
            <w:tcW w:w="315" w:type="pct"/>
            <w:shd w:val="clear" w:color="auto" w:fill="FF0000"/>
            <w:noWrap/>
            <w:vAlign w:val="bottom"/>
            <w:hideMark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Deficiente</w:t>
            </w:r>
          </w:p>
        </w:tc>
      </w:tr>
      <w:tr w:rsidR="006D0441" w:rsidRPr="005F530E" w:rsidTr="00F97363">
        <w:trPr>
          <w:trHeight w:val="300"/>
        </w:trPr>
        <w:tc>
          <w:tcPr>
            <w:tcW w:w="3231" w:type="pct"/>
            <w:shd w:val="clear" w:color="auto" w:fill="auto"/>
            <w:noWrap/>
            <w:vAlign w:val="bottom"/>
          </w:tcPr>
          <w:p w:rsidR="006D0441" w:rsidRPr="00AB6E23" w:rsidRDefault="006D0441" w:rsidP="00F97363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AB6E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>Porcentaje de la población con recolección de residuos sólidos al menos una vez por semana</w:t>
            </w:r>
          </w:p>
          <w:p w:rsidR="006D0441" w:rsidRPr="005F530E" w:rsidRDefault="006D0441" w:rsidP="00F97363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AB6E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Determina la cantidad anual de hogares de la ciudad que cuenta con un servicio periódico de recolección de residuos sólidos municipales.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%</w:t>
            </w:r>
          </w:p>
        </w:tc>
        <w:tc>
          <w:tcPr>
            <w:tcW w:w="315" w:type="pct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68" w:type="pct"/>
            <w:shd w:val="clear" w:color="auto" w:fill="A8D08D" w:themeFill="accent6" w:themeFillTint="99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&gt;9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0  </w:t>
            </w:r>
          </w:p>
        </w:tc>
        <w:tc>
          <w:tcPr>
            <w:tcW w:w="353" w:type="pct"/>
            <w:shd w:val="clear" w:color="auto" w:fill="FFFF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9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0 -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80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15" w:type="pct"/>
            <w:shd w:val="clear" w:color="auto" w:fill="FF00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8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0</w:t>
            </w:r>
          </w:p>
        </w:tc>
      </w:tr>
      <w:tr w:rsidR="006D0441" w:rsidRPr="005F530E" w:rsidTr="00F97363">
        <w:trPr>
          <w:trHeight w:val="300"/>
        </w:trPr>
        <w:tc>
          <w:tcPr>
            <w:tcW w:w="3231" w:type="pct"/>
            <w:shd w:val="clear" w:color="auto" w:fill="auto"/>
            <w:noWrap/>
            <w:vAlign w:val="bottom"/>
          </w:tcPr>
          <w:p w:rsidR="006D0441" w:rsidRDefault="006D0441" w:rsidP="00F97363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AB6E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>Porcentaje de residuos sólidos municipales que son compostados</w:t>
            </w:r>
          </w:p>
          <w:p w:rsidR="006D0441" w:rsidRPr="009B79EA" w:rsidRDefault="006D0441" w:rsidP="00F97363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9B7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Los residuos sólidos municipales tratados por compostaje divididos por la cantidad total de residuos sólidos municipales generados.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%</w:t>
            </w:r>
          </w:p>
        </w:tc>
        <w:tc>
          <w:tcPr>
            <w:tcW w:w="315" w:type="pct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68" w:type="pct"/>
            <w:shd w:val="clear" w:color="auto" w:fill="A8D08D" w:themeFill="accent6" w:themeFillTint="99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&gt;2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0  </w:t>
            </w:r>
          </w:p>
        </w:tc>
        <w:tc>
          <w:tcPr>
            <w:tcW w:w="353" w:type="pct"/>
            <w:shd w:val="clear" w:color="auto" w:fill="FFFF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2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0 -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5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15" w:type="pct"/>
            <w:shd w:val="clear" w:color="auto" w:fill="FF00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5</w:t>
            </w:r>
          </w:p>
        </w:tc>
      </w:tr>
      <w:tr w:rsidR="006D0441" w:rsidRPr="005F530E" w:rsidTr="00F97363">
        <w:trPr>
          <w:trHeight w:val="300"/>
        </w:trPr>
        <w:tc>
          <w:tcPr>
            <w:tcW w:w="3231" w:type="pct"/>
            <w:shd w:val="clear" w:color="auto" w:fill="auto"/>
            <w:noWrap/>
            <w:vAlign w:val="bottom"/>
          </w:tcPr>
          <w:p w:rsidR="006D0441" w:rsidRDefault="006D0441" w:rsidP="00F97363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BA0C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>Porcentaje de residuos sólidos municipales que son separados y clasificados para reciclado (formal e informalmente)</w:t>
            </w:r>
          </w:p>
          <w:p w:rsidR="006D0441" w:rsidRPr="00BA0C87" w:rsidRDefault="006D0441" w:rsidP="00F97363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Se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calcula el número total anual de toneladas de residuos sólidos municipales de la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ciudad que son separados formal e informalmente para reciclaje. Este número se divide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por el total de toneladas de residuos sólidos municipales producidos en la ciudad. El total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se multiplica por 100.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%</w:t>
            </w:r>
          </w:p>
        </w:tc>
        <w:tc>
          <w:tcPr>
            <w:tcW w:w="315" w:type="pct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68" w:type="pct"/>
            <w:shd w:val="clear" w:color="auto" w:fill="A8D08D" w:themeFill="accent6" w:themeFillTint="99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&gt;25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53" w:type="pct"/>
            <w:shd w:val="clear" w:color="auto" w:fill="FFFF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25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15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15" w:type="pct"/>
            <w:shd w:val="clear" w:color="auto" w:fill="FF00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15</w:t>
            </w:r>
          </w:p>
        </w:tc>
      </w:tr>
      <w:tr w:rsidR="006D0441" w:rsidRPr="005F530E" w:rsidTr="00F97363">
        <w:trPr>
          <w:trHeight w:val="300"/>
        </w:trPr>
        <w:tc>
          <w:tcPr>
            <w:tcW w:w="3231" w:type="pct"/>
            <w:shd w:val="clear" w:color="auto" w:fill="auto"/>
            <w:noWrap/>
            <w:vAlign w:val="bottom"/>
          </w:tcPr>
          <w:p w:rsidR="006D0441" w:rsidRDefault="006D0441" w:rsidP="00F97363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BA0C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>Porcentaje de residuos sólidos municipales que se utilizan como recurso energético (Incineración, Biogás de Relleno Sanitario, Biodigestión y Coprocesamiento)</w:t>
            </w:r>
          </w:p>
          <w:p w:rsidR="006D0441" w:rsidRPr="00BA0C87" w:rsidRDefault="006D0441" w:rsidP="00F97363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Este indicador se calcula como el porcentaje de los residuos sólidos municipales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la ciudad que se desvían a una planta de conversión de residuos en energía para su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incineración. Si no existe una instalación de este tipo en funcionamiento, el indicador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se calcula como el porcentaje de los residuos sólidos municipales de la ciudad que 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desechan en un relleno sanitario en el que el gas de relleno se recoge y utiliza como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fuente de energía. Esta cantidad se divide por el total de toneladas de residuos sólidos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BA0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producidos en la ciudad, expresado como porcentaje.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%</w:t>
            </w:r>
          </w:p>
        </w:tc>
        <w:tc>
          <w:tcPr>
            <w:tcW w:w="315" w:type="pct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68" w:type="pct"/>
            <w:shd w:val="clear" w:color="auto" w:fill="A8D08D" w:themeFill="accent6" w:themeFillTint="99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&gt;70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53" w:type="pct"/>
            <w:shd w:val="clear" w:color="auto" w:fill="FFFF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70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40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15" w:type="pct"/>
            <w:shd w:val="clear" w:color="auto" w:fill="FF00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40</w:t>
            </w:r>
          </w:p>
        </w:tc>
      </w:tr>
      <w:tr w:rsidR="006D0441" w:rsidRPr="005F530E" w:rsidTr="00F97363">
        <w:trPr>
          <w:trHeight w:val="300"/>
        </w:trPr>
        <w:tc>
          <w:tcPr>
            <w:tcW w:w="3231" w:type="pct"/>
            <w:shd w:val="clear" w:color="auto" w:fill="auto"/>
            <w:noWrap/>
            <w:vAlign w:val="bottom"/>
          </w:tcPr>
          <w:p w:rsidR="006D0441" w:rsidRDefault="006D0441" w:rsidP="00F97363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CE65C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>Porcentaje de residuos sólidos municipales vertidos en rellenos sanitarios</w:t>
            </w:r>
          </w:p>
          <w:p w:rsidR="006D0441" w:rsidRPr="00CE65CB" w:rsidRDefault="006D0441" w:rsidP="00F97363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CE6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Residuos sólidos municipales: se desechan en rellenos sanitarios; se dividen por la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CE6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cantidad total de residuos sólidos.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CE6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Se divide el número total anual de toneladas de residuos sólidos municipales de la ciudad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CE6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que se desechan en un relleno sanitario por el número total de toneladas de residuos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CE65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sólidos municipales producidos en la ciudad. Este total se multiplica por 100.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%</w:t>
            </w:r>
          </w:p>
        </w:tc>
        <w:tc>
          <w:tcPr>
            <w:tcW w:w="315" w:type="pct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68" w:type="pct"/>
            <w:shd w:val="clear" w:color="auto" w:fill="A8D08D" w:themeFill="accent6" w:themeFillTint="99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&gt;90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53" w:type="pct"/>
            <w:shd w:val="clear" w:color="auto" w:fill="FFFF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90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80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15" w:type="pct"/>
            <w:shd w:val="clear" w:color="auto" w:fill="FF00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80</w:t>
            </w:r>
          </w:p>
        </w:tc>
      </w:tr>
      <w:tr w:rsidR="006D0441" w:rsidRPr="005F530E" w:rsidTr="00F97363">
        <w:trPr>
          <w:trHeight w:val="300"/>
        </w:trPr>
        <w:tc>
          <w:tcPr>
            <w:tcW w:w="3231" w:type="pct"/>
            <w:shd w:val="clear" w:color="auto" w:fill="auto"/>
            <w:noWrap/>
            <w:vAlign w:val="bottom"/>
            <w:hideMark/>
          </w:tcPr>
          <w:p w:rsidR="006D0441" w:rsidRPr="00EE23C4" w:rsidRDefault="006D0441" w:rsidP="00F9736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EE23C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 xml:space="preserve">Vida útil disponible del vertido </w:t>
            </w:r>
          </w:p>
          <w:p w:rsidR="006D0441" w:rsidRPr="00EE23C4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EE23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En el caso de los vertederos que verifican el peso de los materiales ingresantes, la</w:t>
            </w:r>
          </w:p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EE23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lastRenderedPageBreak/>
              <w:t>metodología para determinar la capacidad restante usando la conversión peso a volumen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EE23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es la siguiente: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EE23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Resto de vida útil (tiempo) = [Volumen restante (volumen) x Densidad de los residuos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EE23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(masa/volumen)] / [Tasa promedio proyectada de llenado de residuos (masa/tiempo)]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lastRenderedPageBreak/>
              <w:t>Años</w:t>
            </w:r>
          </w:p>
        </w:tc>
        <w:tc>
          <w:tcPr>
            <w:tcW w:w="315" w:type="pct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68" w:type="pct"/>
            <w:shd w:val="clear" w:color="auto" w:fill="A8D08D" w:themeFill="accent6" w:themeFillTint="99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8</w:t>
            </w:r>
          </w:p>
        </w:tc>
        <w:tc>
          <w:tcPr>
            <w:tcW w:w="353" w:type="pct"/>
            <w:shd w:val="clear" w:color="auto" w:fill="FFFF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8 -5  </w:t>
            </w:r>
          </w:p>
        </w:tc>
        <w:tc>
          <w:tcPr>
            <w:tcW w:w="315" w:type="pct"/>
            <w:shd w:val="clear" w:color="auto" w:fill="FF0000"/>
            <w:noWrap/>
            <w:vAlign w:val="bottom"/>
            <w:hideMark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&lt;5  </w:t>
            </w:r>
          </w:p>
        </w:tc>
      </w:tr>
      <w:tr w:rsidR="006D0441" w:rsidRPr="005F530E" w:rsidTr="00F97363">
        <w:trPr>
          <w:trHeight w:val="300"/>
        </w:trPr>
        <w:tc>
          <w:tcPr>
            <w:tcW w:w="3231" w:type="pct"/>
            <w:shd w:val="clear" w:color="auto" w:fill="auto"/>
            <w:noWrap/>
            <w:vAlign w:val="bottom"/>
          </w:tcPr>
          <w:p w:rsidR="006D0441" w:rsidRPr="00441475" w:rsidRDefault="006D0441" w:rsidP="00F9736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44147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>Porcentaje de residuos sólidos municipales desechados en vertederos a cielo abierto, vertederos controlados, cuerpos de agua o quemados</w:t>
            </w:r>
          </w:p>
          <w:p w:rsidR="006D0441" w:rsidRPr="005F530E" w:rsidRDefault="006D0441" w:rsidP="00F9736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441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Se determina el número total anual de toneladas de residuos sólidos municipales de la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441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ciudad que se desechan en vertederos a cielo abierto, en vertederos controlados, 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441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cuerpos de agua o que se queman, lo que se puede aproximar calculando la generación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441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total de residuos municipales de la ciudad (generación de residuos per cápita 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441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población) menos los residuos que se desechan en rellenos sanitarios. Estas cantidades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441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se dividen por el número total de toneladas de residuos sólidos municipales producidos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</w:t>
            </w:r>
            <w:r w:rsidRPr="004414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en la ciudad. Este total se multiplica por 100.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%</w:t>
            </w:r>
          </w:p>
        </w:tc>
        <w:tc>
          <w:tcPr>
            <w:tcW w:w="315" w:type="pct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68" w:type="pct"/>
            <w:shd w:val="clear" w:color="auto" w:fill="A8D08D" w:themeFill="accent6" w:themeFillTint="99"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&gt;10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53" w:type="pct"/>
            <w:shd w:val="clear" w:color="auto" w:fill="FFFF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10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20</w:t>
            </w: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 xml:space="preserve">  </w:t>
            </w:r>
          </w:p>
        </w:tc>
        <w:tc>
          <w:tcPr>
            <w:tcW w:w="315" w:type="pct"/>
            <w:shd w:val="clear" w:color="auto" w:fill="FF0000"/>
            <w:noWrap/>
            <w:vAlign w:val="bottom"/>
          </w:tcPr>
          <w:p w:rsidR="006D0441" w:rsidRPr="005F530E" w:rsidRDefault="006D0441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R"/>
              </w:rPr>
              <w:t>20</w:t>
            </w:r>
          </w:p>
        </w:tc>
      </w:tr>
    </w:tbl>
    <w:p w:rsidR="006D0441" w:rsidRDefault="006D0441" w:rsidP="006D0441">
      <w:pPr>
        <w:jc w:val="both"/>
        <w:rPr>
          <w:sz w:val="28"/>
          <w:szCs w:val="28"/>
        </w:rPr>
        <w:sectPr w:rsidR="006D044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D4A61" w:rsidRDefault="005D4A61"/>
    <w:sectPr w:rsidR="005D4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41"/>
    <w:rsid w:val="005D4A61"/>
    <w:rsid w:val="006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CCAF2-F48B-47E9-A344-9D4DE8AB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41"/>
  </w:style>
  <w:style w:type="paragraph" w:styleId="Ttulo1">
    <w:name w:val="heading 1"/>
    <w:basedOn w:val="Normal"/>
    <w:next w:val="Normal"/>
    <w:link w:val="Ttulo1Car"/>
    <w:uiPriority w:val="9"/>
    <w:qFormat/>
    <w:rsid w:val="006D0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0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1</cp:revision>
  <dcterms:created xsi:type="dcterms:W3CDTF">2020-03-02T04:11:00Z</dcterms:created>
  <dcterms:modified xsi:type="dcterms:W3CDTF">2020-03-02T04:11:00Z</dcterms:modified>
</cp:coreProperties>
</file>