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2F" w:rsidRDefault="00F75F2F" w:rsidP="00F75F2F">
      <w:pPr>
        <w:pStyle w:val="Ttulo1"/>
      </w:pPr>
      <w:r>
        <w:t>F</w:t>
      </w:r>
      <w:r w:rsidRPr="00A47C5D">
        <w:t>ormato para los indicadores en el periodo de planeamiento de la GIRS</w:t>
      </w:r>
    </w:p>
    <w:p w:rsidR="00F75F2F" w:rsidRDefault="00C57AB9" w:rsidP="00F75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Basado en </w:t>
      </w:r>
      <w:r w:rsidR="00F75F2F">
        <w:rPr>
          <w:sz w:val="28"/>
          <w:szCs w:val="28"/>
        </w:rPr>
        <w:t>Alarcón (2019)</w:t>
      </w:r>
      <w:r>
        <w:rPr>
          <w:sz w:val="28"/>
          <w:szCs w:val="28"/>
        </w:rPr>
        <w:t>, con adaptación de indicadores y</w:t>
      </w:r>
      <w:r w:rsidR="00F75F2F">
        <w:rPr>
          <w:sz w:val="28"/>
          <w:szCs w:val="28"/>
        </w:rPr>
        <w:t xml:space="preserve"> </w:t>
      </w:r>
      <w:r>
        <w:rPr>
          <w:sz w:val="28"/>
          <w:szCs w:val="28"/>
        </w:rPr>
        <w:t>con un</w:t>
      </w:r>
      <w:r w:rsidR="00F75F2F">
        <w:rPr>
          <w:sz w:val="28"/>
          <w:szCs w:val="28"/>
        </w:rPr>
        <w:t xml:space="preserve"> periodo de proyección de 15 años, durante los cuales debe hacer el cálculo de evolución de los indicadores.</w:t>
      </w:r>
      <w:r w:rsidR="00B62086">
        <w:rPr>
          <w:sz w:val="28"/>
          <w:szCs w:val="28"/>
        </w:rPr>
        <w:t xml:space="preserve"> </w:t>
      </w:r>
      <w:r w:rsidR="00B62086">
        <w:rPr>
          <w:sz w:val="28"/>
          <w:szCs w:val="28"/>
        </w:rPr>
        <w:t>El año base es lo que se considera la línea base.</w:t>
      </w:r>
      <w:bookmarkStart w:id="0" w:name="_GoBack"/>
      <w:bookmarkEnd w:id="0"/>
    </w:p>
    <w:tbl>
      <w:tblPr>
        <w:tblW w:w="3869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4180"/>
        <w:gridCol w:w="251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364"/>
        <w:gridCol w:w="364"/>
        <w:gridCol w:w="364"/>
        <w:gridCol w:w="364"/>
        <w:gridCol w:w="364"/>
        <w:gridCol w:w="388"/>
      </w:tblGrid>
      <w:tr w:rsidR="00C57AB9" w:rsidRPr="00A47C5D" w:rsidTr="00C57AB9">
        <w:trPr>
          <w:trHeight w:val="300"/>
        </w:trPr>
        <w:tc>
          <w:tcPr>
            <w:tcW w:w="56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ID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 xml:space="preserve">INDICADORES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NIVEL I</w:t>
            </w:r>
          </w:p>
        </w:tc>
        <w:tc>
          <w:tcPr>
            <w:tcW w:w="125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0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2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3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4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5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6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7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8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9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10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11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12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13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14</w:t>
            </w:r>
          </w:p>
        </w:tc>
        <w:tc>
          <w:tcPr>
            <w:tcW w:w="193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F9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15</w:t>
            </w:r>
          </w:p>
        </w:tc>
      </w:tr>
      <w:tr w:rsidR="00C57AB9" w:rsidRPr="00A47C5D" w:rsidTr="00C57AB9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color w:val="000000"/>
                <w:lang w:eastAsia="es-CR"/>
              </w:rPr>
              <w:t>1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A064B5" w:rsidRDefault="00C57AB9" w:rsidP="00C57AB9">
            <w:r w:rsidRPr="00A064B5">
              <w:t>Tasa de generación anual de residuos ordinarios residenciales por persona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C57AB9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A064B5" w:rsidRDefault="00C57AB9" w:rsidP="00C57AB9">
            <w:r w:rsidRPr="00A064B5">
              <w:t xml:space="preserve">Tasa de generación anual  de residuos ordinarios residenciales por hogar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C57AB9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A064B5" w:rsidRDefault="00C57AB9" w:rsidP="00C57AB9">
            <w:r w:rsidRPr="00A064B5">
              <w:t>Tasa de generación anual de residuos ordinarios totales por habitante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C57AB9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color w:val="000000"/>
                <w:lang w:eastAsia="es-CR"/>
              </w:rPr>
              <w:t>4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A064B5" w:rsidRDefault="00C57AB9" w:rsidP="00C57AB9">
            <w:r w:rsidRPr="00A064B5">
              <w:t>Porcentaje de la población servida con recolección de residuos sólidos ordinarios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C57AB9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color w:val="000000"/>
                <w:lang w:eastAsia="es-CR"/>
              </w:rPr>
              <w:t>5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A064B5" w:rsidRDefault="00C57AB9" w:rsidP="00C57AB9">
            <w:r w:rsidRPr="00A064B5">
              <w:t>Porcentaje de residuos sólidos municipales vertidos en rellenos sanitarios y vertederos controlados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C57AB9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color w:val="000000"/>
                <w:lang w:eastAsia="es-CR"/>
              </w:rPr>
              <w:t>6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Default="00C57AB9" w:rsidP="00C57AB9">
            <w:r w:rsidRPr="00A064B5">
              <w:t>Cobertura de las tarifas del servicio de residuos sólidos de los costos del servicio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C57AB9" w:rsidRDefault="00C57AB9" w:rsidP="00F75F2F">
      <w:pPr>
        <w:jc w:val="both"/>
        <w:rPr>
          <w:sz w:val="24"/>
          <w:szCs w:val="28"/>
        </w:rPr>
      </w:pPr>
    </w:p>
    <w:tbl>
      <w:tblPr>
        <w:tblW w:w="3869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4180"/>
        <w:gridCol w:w="251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364"/>
        <w:gridCol w:w="364"/>
        <w:gridCol w:w="364"/>
        <w:gridCol w:w="364"/>
        <w:gridCol w:w="364"/>
        <w:gridCol w:w="388"/>
      </w:tblGrid>
      <w:tr w:rsidR="00C57AB9" w:rsidRPr="00A47C5D" w:rsidTr="00995DAF">
        <w:trPr>
          <w:trHeight w:val="300"/>
        </w:trPr>
        <w:tc>
          <w:tcPr>
            <w:tcW w:w="56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ID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 xml:space="preserve">INDICADORES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NIVEL II</w:t>
            </w:r>
          </w:p>
        </w:tc>
        <w:tc>
          <w:tcPr>
            <w:tcW w:w="125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0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2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3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4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5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6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7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8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9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10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11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12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13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14</w:t>
            </w:r>
          </w:p>
        </w:tc>
        <w:tc>
          <w:tcPr>
            <w:tcW w:w="193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15</w:t>
            </w:r>
          </w:p>
        </w:tc>
      </w:tr>
      <w:tr w:rsidR="00C57AB9" w:rsidRPr="00A47C5D" w:rsidTr="00D90DCF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06507" w:rsidRDefault="00C57AB9" w:rsidP="00C57AB9">
            <w:r w:rsidRPr="00906507">
              <w:t>7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906507" w:rsidRDefault="00C57AB9" w:rsidP="00C57AB9">
            <w:r w:rsidRPr="00906507">
              <w:t>Porcentaje de territorio servido con recolección de residuos sólidos ordinarios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D90DCF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06507" w:rsidRDefault="00C57AB9" w:rsidP="00C57AB9">
            <w:r w:rsidRPr="00906507">
              <w:t>8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906507" w:rsidRDefault="00C57AB9" w:rsidP="00C57AB9">
            <w:r w:rsidRPr="00906507">
              <w:t xml:space="preserve">Porcentaje de operadores o gestores privados y públicos de recolección de </w:t>
            </w:r>
            <w:r w:rsidRPr="00906507">
              <w:lastRenderedPageBreak/>
              <w:t xml:space="preserve">residuos sólidos ordinarios que han sido registrados por la municipalidad.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D90DCF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06507" w:rsidRDefault="00C57AB9" w:rsidP="00C57AB9">
            <w:r w:rsidRPr="00906507">
              <w:t>9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906507" w:rsidRDefault="00C57AB9" w:rsidP="00C57AB9">
            <w:r w:rsidRPr="00906507">
              <w:t>Porcentaje de residuos sólidos municipales no orgánicos que son separados y clasificados para reciclado en centro de valorización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D90DCF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06507" w:rsidRDefault="00C57AB9" w:rsidP="00C57AB9">
            <w:r w:rsidRPr="00906507">
              <w:t>10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906507" w:rsidRDefault="00C57AB9" w:rsidP="00C57AB9">
            <w:r w:rsidRPr="00906507">
              <w:t>Ajuste anual de la tarifa de recolección de residuos sólidos ordinarios, tratamiento y la de limpieza de vías públicas.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D90DCF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06507" w:rsidRDefault="00C57AB9" w:rsidP="00C57AB9">
            <w:r w:rsidRPr="00906507">
              <w:t>11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906507" w:rsidRDefault="00C57AB9" w:rsidP="00C57AB9">
            <w:r w:rsidRPr="00906507">
              <w:t>Porcentaje de morosidad real por cobro del servicio de recolección de residuos sólidos ordinarios, tratamiento y limpieza de vía pública.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D90DCF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06507" w:rsidRDefault="00C57AB9" w:rsidP="00C57AB9">
            <w:r w:rsidRPr="00906507">
              <w:t>12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Default="00C57AB9" w:rsidP="00C57AB9">
            <w:r w:rsidRPr="00906507">
              <w:t>Vida útil promedio de la disponibilidad de rellenos sanitaros y vertederos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C57AB9" w:rsidRDefault="00C57AB9" w:rsidP="00F75F2F">
      <w:pPr>
        <w:jc w:val="both"/>
        <w:rPr>
          <w:sz w:val="24"/>
          <w:szCs w:val="28"/>
        </w:rPr>
      </w:pPr>
    </w:p>
    <w:tbl>
      <w:tblPr>
        <w:tblW w:w="3869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4180"/>
        <w:gridCol w:w="251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364"/>
        <w:gridCol w:w="364"/>
        <w:gridCol w:w="364"/>
        <w:gridCol w:w="364"/>
        <w:gridCol w:w="364"/>
        <w:gridCol w:w="388"/>
      </w:tblGrid>
      <w:tr w:rsidR="00C57AB9" w:rsidRPr="00A47C5D" w:rsidTr="00995DAF">
        <w:trPr>
          <w:trHeight w:val="300"/>
        </w:trPr>
        <w:tc>
          <w:tcPr>
            <w:tcW w:w="56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ID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 xml:space="preserve">INDICADORES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NIVEL III</w:t>
            </w:r>
          </w:p>
        </w:tc>
        <w:tc>
          <w:tcPr>
            <w:tcW w:w="125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0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2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3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4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5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6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7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8</w:t>
            </w:r>
          </w:p>
        </w:tc>
        <w:tc>
          <w:tcPr>
            <w:tcW w:w="12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9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10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11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12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13</w:t>
            </w:r>
          </w:p>
        </w:tc>
        <w:tc>
          <w:tcPr>
            <w:tcW w:w="1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14</w:t>
            </w:r>
          </w:p>
        </w:tc>
        <w:tc>
          <w:tcPr>
            <w:tcW w:w="193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4F81BD"/>
            <w:noWrap/>
            <w:vAlign w:val="bottom"/>
            <w:hideMark/>
          </w:tcPr>
          <w:p w:rsidR="00C57AB9" w:rsidRPr="00A47C5D" w:rsidRDefault="00C57AB9" w:rsidP="0099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</w:pPr>
            <w:r w:rsidRPr="00A47C5D">
              <w:rPr>
                <w:rFonts w:ascii="Calibri" w:eastAsia="Times New Roman" w:hAnsi="Calibri" w:cs="Calibri"/>
                <w:b/>
                <w:bCs/>
                <w:color w:val="FFFFFF"/>
                <w:lang w:eastAsia="es-CR"/>
              </w:rPr>
              <w:t>15</w:t>
            </w:r>
          </w:p>
        </w:tc>
      </w:tr>
      <w:tr w:rsidR="00C57AB9" w:rsidRPr="00A47C5D" w:rsidTr="00CC55E5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B1167" w:rsidRDefault="00C57AB9" w:rsidP="00C57AB9">
            <w:r w:rsidRPr="009B1167">
              <w:t>13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9B1167" w:rsidRDefault="00C57AB9" w:rsidP="00C57AB9">
            <w:r w:rsidRPr="009B1167">
              <w:t xml:space="preserve">Porcentaje de operadores o gestores privados y públicos para la valorización de residuos sólidos registrados por la municipalidad.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CC55E5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B1167" w:rsidRDefault="00C57AB9" w:rsidP="00C57AB9">
            <w:r w:rsidRPr="009B1167">
              <w:t>14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9B1167" w:rsidRDefault="00C57AB9" w:rsidP="00C57AB9">
            <w:r w:rsidRPr="009B1167">
              <w:t>Porcentaje de vehículos recolectores con revisión de idoneidad dentro del total de la flota pública y privada disponible en el municipio para residuos sólidos.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CC55E5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B1167" w:rsidRDefault="00C57AB9" w:rsidP="00C57AB9">
            <w:r w:rsidRPr="009B1167">
              <w:lastRenderedPageBreak/>
              <w:t>15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9B1167" w:rsidRDefault="00C57AB9" w:rsidP="00C57AB9">
            <w:r w:rsidRPr="009B1167">
              <w:t xml:space="preserve">Porcentaje de residuos sólidos municipales orgánicos que son recolectados y </w:t>
            </w:r>
            <w:proofErr w:type="spellStart"/>
            <w:r w:rsidRPr="009B1167">
              <w:t>compostados</w:t>
            </w:r>
            <w:proofErr w:type="spellEnd"/>
            <w:r w:rsidRPr="009B1167">
              <w:t xml:space="preserve"> en centros de recuperación.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CC55E5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B1167" w:rsidRDefault="00C57AB9" w:rsidP="00C57AB9">
            <w:r w:rsidRPr="009B1167">
              <w:t>16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9B1167" w:rsidRDefault="00C57AB9" w:rsidP="00C57AB9">
            <w:r w:rsidRPr="009B1167">
              <w:t>Porcentaje de residuos sólidos municipales que se utilizan como recurso energético en sitios de disposición o en la industria.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CC55E5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B1167" w:rsidRDefault="00C57AB9" w:rsidP="00C57AB9">
            <w:r w:rsidRPr="009B1167">
              <w:t>17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Pr="009B1167" w:rsidRDefault="00C57AB9" w:rsidP="00C57AB9">
            <w:r w:rsidRPr="009B1167">
              <w:t>Cobertura de los ingresos de comercialización de residuos valorizables sobre los costos asociados en centros de recuperación.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C57AB9" w:rsidRPr="00A47C5D" w:rsidTr="00CC55E5">
        <w:trPr>
          <w:trHeight w:val="300"/>
        </w:trPr>
        <w:tc>
          <w:tcPr>
            <w:tcW w:w="56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C57AB9" w:rsidRPr="009B1167" w:rsidRDefault="00C57AB9" w:rsidP="00C57AB9">
            <w:r w:rsidRPr="009B1167">
              <w:t>18</w:t>
            </w:r>
          </w:p>
        </w:tc>
        <w:tc>
          <w:tcPr>
            <w:tcW w:w="207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C57AB9" w:rsidRDefault="00C57AB9" w:rsidP="00C57AB9">
            <w:r w:rsidRPr="009B1167">
              <w:t>Porcentaje de avance anual en el desarrollo de los objetivos específicos propuestos en el Plan Municipal de GIRS.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C57AB9" w:rsidRPr="00A47C5D" w:rsidRDefault="00C57AB9" w:rsidP="00C57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:rsidR="00C57AB9" w:rsidRDefault="00C57AB9" w:rsidP="00F75F2F">
      <w:pPr>
        <w:jc w:val="both"/>
        <w:rPr>
          <w:sz w:val="24"/>
          <w:szCs w:val="28"/>
        </w:rPr>
      </w:pPr>
    </w:p>
    <w:p w:rsidR="00F75F2F" w:rsidRPr="00A47C5D" w:rsidRDefault="00F75F2F" w:rsidP="00F75F2F">
      <w:pPr>
        <w:jc w:val="both"/>
        <w:rPr>
          <w:sz w:val="24"/>
          <w:szCs w:val="28"/>
        </w:rPr>
        <w:sectPr w:rsidR="00F75F2F" w:rsidRPr="00A47C5D" w:rsidSect="00A47C5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A47C5D">
        <w:rPr>
          <w:sz w:val="24"/>
          <w:szCs w:val="28"/>
        </w:rPr>
        <w:t xml:space="preserve">Fuente: </w:t>
      </w:r>
      <w:r w:rsidR="00C57AB9">
        <w:rPr>
          <w:sz w:val="24"/>
          <w:szCs w:val="28"/>
        </w:rPr>
        <w:t>Elaboración propia</w:t>
      </w:r>
    </w:p>
    <w:p w:rsidR="005D4A61" w:rsidRDefault="005D4A61"/>
    <w:sectPr w:rsidR="005D4A61" w:rsidSect="00F75F2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2F"/>
    <w:rsid w:val="003F565A"/>
    <w:rsid w:val="005D4A61"/>
    <w:rsid w:val="00B62086"/>
    <w:rsid w:val="00C57AB9"/>
    <w:rsid w:val="00F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9C89-E8F7-46D9-BB20-BB249E2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2F"/>
  </w:style>
  <w:style w:type="paragraph" w:styleId="Ttulo1">
    <w:name w:val="heading 1"/>
    <w:basedOn w:val="Normal"/>
    <w:next w:val="Normal"/>
    <w:link w:val="Ttulo1Car"/>
    <w:uiPriority w:val="9"/>
    <w:qFormat/>
    <w:rsid w:val="00F75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5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3</cp:revision>
  <dcterms:created xsi:type="dcterms:W3CDTF">2020-05-08T03:30:00Z</dcterms:created>
  <dcterms:modified xsi:type="dcterms:W3CDTF">2020-05-08T10:51:00Z</dcterms:modified>
</cp:coreProperties>
</file>